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4A7" w:rsidRPr="004E46B4" w:rsidRDefault="007114A7" w:rsidP="007114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6B4">
        <w:rPr>
          <w:rFonts w:ascii="Times New Roman" w:hAnsi="Times New Roman" w:cs="Times New Roman"/>
          <w:b/>
          <w:sz w:val="28"/>
          <w:szCs w:val="28"/>
        </w:rPr>
        <w:t>В Кадастровой палате рассказали о консультационных услугах по вопросам оформления недвижимости</w:t>
      </w: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89B">
        <w:rPr>
          <w:rFonts w:ascii="Times New Roman" w:hAnsi="Times New Roman" w:cs="Times New Roman"/>
          <w:sz w:val="24"/>
          <w:szCs w:val="24"/>
        </w:rPr>
        <w:t>7 августа в Кадастровой палате по Новосибирской области прошло телефонное консультиро</w:t>
      </w:r>
      <w:r>
        <w:rPr>
          <w:rFonts w:ascii="Times New Roman" w:hAnsi="Times New Roman" w:cs="Times New Roman"/>
          <w:sz w:val="24"/>
          <w:szCs w:val="24"/>
        </w:rPr>
        <w:t>вание по вопросам оказания учре</w:t>
      </w:r>
      <w:r w:rsidRPr="0095789B">
        <w:rPr>
          <w:rFonts w:ascii="Times New Roman" w:hAnsi="Times New Roman" w:cs="Times New Roman"/>
          <w:sz w:val="24"/>
          <w:szCs w:val="24"/>
        </w:rPr>
        <w:t>ждением платных консультационных услуг. На вопросы в рамках горячей линии ответила заместитель начальника межрайонного отдела Марина Николаевна Кабанова.</w:t>
      </w: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Можно ли получить письменную консультацию специалистов Кадастровой палаты?</w:t>
      </w:r>
    </w:p>
    <w:p w:rsidR="007114A7" w:rsidRPr="00BD3B72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Специалисты К</w:t>
      </w: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>адастров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палат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ы,</w:t>
      </w: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помимо устных консультаций, </w:t>
      </w: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>оказыва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3B3447">
        <w:rPr>
          <w:rFonts w:ascii="Times New Roman" w:eastAsia="Calibri" w:hAnsi="Times New Roman" w:cs="Times New Roman"/>
          <w:color w:val="000000"/>
          <w:sz w:val="24"/>
          <w:szCs w:val="24"/>
        </w:rPr>
        <w:t>т консультации с подготовкой письменной резолюции.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Квалифицированные специалисты учреждения с многолетним опытом работы при необходимости могут подготовить письменный ответ на интересующий вопрос, связанный с оформлением недвижимости. Письменная резолюция содержит подробные разъяснения и ссылки на нормы действующего законодательства. Стоимость консультации без письменной резолюции составляет 920 рублей, с письменной резолюцией – 1380 рублей.</w:t>
      </w: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037A17">
        <w:rPr>
          <w:rFonts w:ascii="Times New Roman" w:hAnsi="Times New Roman" w:cs="Times New Roman"/>
          <w:b/>
          <w:sz w:val="24"/>
          <w:szCs w:val="24"/>
        </w:rPr>
        <w:t xml:space="preserve">акова стоимость консультации </w:t>
      </w:r>
      <w:r>
        <w:rPr>
          <w:rFonts w:ascii="Times New Roman" w:hAnsi="Times New Roman" w:cs="Times New Roman"/>
          <w:b/>
          <w:sz w:val="24"/>
          <w:szCs w:val="24"/>
        </w:rPr>
        <w:t>и куда обратиться, е</w:t>
      </w:r>
      <w:r w:rsidRPr="00037A17">
        <w:rPr>
          <w:rFonts w:ascii="Times New Roman" w:hAnsi="Times New Roman" w:cs="Times New Roman"/>
          <w:b/>
          <w:sz w:val="24"/>
          <w:szCs w:val="24"/>
        </w:rPr>
        <w:t>сли нужно проконсультироваться по составу пакета докум</w:t>
      </w:r>
      <w:r>
        <w:rPr>
          <w:rFonts w:ascii="Times New Roman" w:hAnsi="Times New Roman" w:cs="Times New Roman"/>
          <w:b/>
          <w:sz w:val="24"/>
          <w:szCs w:val="24"/>
        </w:rPr>
        <w:t>ентов для оформления наследства</w:t>
      </w:r>
      <w:r w:rsidRPr="00037A17">
        <w:rPr>
          <w:rFonts w:ascii="Times New Roman" w:hAnsi="Times New Roman" w:cs="Times New Roman"/>
          <w:b/>
          <w:sz w:val="24"/>
          <w:szCs w:val="24"/>
        </w:rPr>
        <w:t>?</w:t>
      </w: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Стоимость к</w:t>
      </w:r>
      <w:r w:rsidRPr="00037A17">
        <w:rPr>
          <w:rFonts w:ascii="Times New Roman" w:eastAsia="Calibri" w:hAnsi="Times New Roman" w:cs="Times New Roman"/>
          <w:color w:val="000000"/>
          <w:sz w:val="24"/>
          <w:szCs w:val="24"/>
        </w:rPr>
        <w:t>онсультаци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037A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составу пакета документов (без составления договора)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составляет 720 рублей. Для получения услуги можно позвонить по </w:t>
      </w:r>
      <w:r w:rsidRPr="00037A17">
        <w:rPr>
          <w:rFonts w:ascii="Times New Roman" w:hAnsi="Times New Roman" w:cs="Times New Roman"/>
          <w:sz w:val="24"/>
          <w:szCs w:val="24"/>
        </w:rPr>
        <w:t xml:space="preserve">телефону: </w:t>
      </w:r>
      <w:r>
        <w:rPr>
          <w:rFonts w:ascii="Times New Roman" w:hAnsi="Times New Roman" w:cs="Times New Roman"/>
          <w:sz w:val="24"/>
          <w:szCs w:val="24"/>
        </w:rPr>
        <w:br/>
        <w:t>+7</w:t>
      </w:r>
      <w:r w:rsidRPr="00037A17">
        <w:rPr>
          <w:rFonts w:ascii="Times New Roman" w:hAnsi="Times New Roman" w:cs="Times New Roman"/>
          <w:sz w:val="24"/>
          <w:szCs w:val="24"/>
        </w:rPr>
        <w:t xml:space="preserve">(383)349-95-69, </w:t>
      </w:r>
      <w:proofErr w:type="spellStart"/>
      <w:r w:rsidRPr="00037A17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037A17">
        <w:rPr>
          <w:rFonts w:ascii="Times New Roman" w:hAnsi="Times New Roman" w:cs="Times New Roman"/>
          <w:sz w:val="24"/>
          <w:szCs w:val="24"/>
        </w:rPr>
        <w:t xml:space="preserve">. 6 или отправить заявку по электронной почте: </w:t>
      </w:r>
      <w:hyperlink r:id="rId8" w:history="1">
        <w:r w:rsidRPr="00BD7A6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filial</w:t>
        </w:r>
        <w:r w:rsidRPr="00BD7A69">
          <w:rPr>
            <w:rStyle w:val="a9"/>
            <w:rFonts w:ascii="Times New Roman" w:hAnsi="Times New Roman" w:cs="Times New Roman"/>
            <w:sz w:val="24"/>
            <w:szCs w:val="24"/>
          </w:rPr>
          <w:t>@54.</w:t>
        </w:r>
        <w:r w:rsidRPr="00BD7A6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Pr="00BD7A69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Pr="00BD7A69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037A1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Подробная информация о тарифах и порядке получения услуг на сайте: </w:t>
      </w:r>
      <w:hyperlink r:id="rId9" w:history="1">
        <w:r w:rsidRPr="00BD7A69">
          <w:rPr>
            <w:rStyle w:val="a9"/>
            <w:rFonts w:ascii="Times New Roman" w:hAnsi="Times New Roman" w:cs="Times New Roman"/>
            <w:sz w:val="24"/>
            <w:szCs w:val="24"/>
          </w:rPr>
          <w:t>https://kadastr.ru/site/Activities/consult.htm</w:t>
        </w:r>
      </w:hyperlink>
      <w:r>
        <w:rPr>
          <w:rFonts w:ascii="Times New Roman" w:hAnsi="Times New Roman" w:cs="Times New Roman"/>
          <w:sz w:val="24"/>
          <w:szCs w:val="24"/>
        </w:rPr>
        <w:t>. В меню регионов нужно выбрать Новосибирскую область.</w:t>
      </w:r>
    </w:p>
    <w:p w:rsidR="007114A7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B72">
        <w:rPr>
          <w:rFonts w:ascii="Times New Roman" w:hAnsi="Times New Roman" w:cs="Times New Roman"/>
          <w:b/>
          <w:sz w:val="24"/>
          <w:szCs w:val="24"/>
        </w:rPr>
        <w:t>Могут ли специалисты Кадастровой палаты составить договор купли-продажи?</w:t>
      </w:r>
    </w:p>
    <w:p w:rsidR="007114A7" w:rsidRPr="00BD3B72" w:rsidRDefault="007114A7" w:rsidP="0071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B72">
        <w:rPr>
          <w:rFonts w:ascii="Times New Roman" w:eastAsia="Calibri" w:hAnsi="Times New Roman" w:cs="Times New Roman"/>
          <w:color w:val="000000"/>
          <w:sz w:val="24"/>
          <w:szCs w:val="24"/>
        </w:rPr>
        <w:t>Специалисты учреждения могут подготовить проект договора в простой письменной форме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различных видов имущественных сделок (купля-продажа, аренда, мена, дарение)</w:t>
      </w:r>
      <w:r w:rsidRPr="00BD3B7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Стоимость услуги варьируется от вида заявителей. Подготовка проекта договора в простой письменной форме между физическими лицами будет стоить 970 рублей, между физическими лицами и юридическим лицом – 1170 рублей, между физическими лицами и несколькими юридическими лицами – 1430 рублей. 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7114A7" w:rsidRDefault="007114A7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7114A7" w:rsidRPr="007114A7" w:rsidRDefault="007114A7" w:rsidP="007114A7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114A7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0D3C94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0D3C9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0D3C9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D3C94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114A7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al@54.kadastr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dastr.ru/site/Activities/consult.ht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92910-A203-4C8E-B0E0-9128426C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2019-08-12T04:57:00Z</dcterms:modified>
</cp:coreProperties>
</file>